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fecss - short period</w:t>
      </w:r>
    </w:p>
    <w:p>
      <w:pPr>
        <w:pStyle w:val="Subtitle"/>
      </w:pPr>
      <w:r>
        <w:t/>
      </w:r>
      <w:r>
        <w:t xml:space="preserve"/>
      </w:r>
      <w:r>
        <w:t xml:space="preserve">SFACD-fecss-Elasticities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SFATLG-fecss Elasticities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-1.832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-0.358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-2.444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-1.587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-0.834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-1.191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-2.392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-1.400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-2.446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-2.374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-0.714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-2.065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-2.249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-1.757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-0.899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-1.404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-0.331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-1.518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-1.130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-1.832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-0.892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SFATLG-fecss Monotonicity Violations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61.5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45.2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56.1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71.9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43.7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16.4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71.6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56.1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38.4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77.7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33.3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75.0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61.5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